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2006/42/EU, 2014/53/EU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55032:2015; EN 55035:2017 EN 55032:2015; EN 55035:2017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IEC 61000- EN IEC 61000-3-2:2019; EN 61000 2:2019; EN 61000 2:2019; EN 61000-3-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3:2013/A1:2019 3:2013/A1:2019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62368- EN 62368-1:2014 + A11:2017 1:2014 + A11:2017 1:2014 + A11:2017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50563:2011+A1:2013 EN 50563:2011+A1:2013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EN50564- EN50564-2011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2011/65/EU Příloha II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měnící se příloha měnící přílohu (EU) 2017/2102 (EU) 2017/2102 (EU) 2017/2102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B0925CDC04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8427542112978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L’Hospitalet de Llobregat, 13. ledna 2025.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9VoOHpjk1Lg+CeT5YVSVkEPoQ==">CgMxLjA4AHIhMU1oRUhGZWVKa0M3NVhsdzdBd0t6Q1JIWWNLV2JoMGI5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